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000422"/>
          <w:sz w:val="24"/>
          <w:szCs w:val="24"/>
        </w:rPr>
      </w:pP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Процедура согласования вывески.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u w:val="single"/>
        </w:rPr>
      </w:pPr>
      <w:r w:rsidDel="00000000" w:rsidR="00000000" w:rsidRPr="00000000">
        <w:rPr>
          <w:color w:val="000422"/>
          <w:sz w:val="24"/>
          <w:szCs w:val="24"/>
          <w:u w:val="single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свидетельства о регистрации предпринимателя/ООО и копия документа, подтверждающего личность заявителя,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Дизайн-макет и проектная документация рекламной конструкции (</w:t>
      </w:r>
      <w:r w:rsidDel="00000000" w:rsidR="00000000" w:rsidRPr="00000000">
        <w:rPr>
          <w:b w:val="1"/>
          <w:color w:val="000422"/>
          <w:sz w:val="24"/>
          <w:szCs w:val="24"/>
          <w:highlight w:val="white"/>
          <w:rtl w:val="0"/>
        </w:rPr>
        <w:t xml:space="preserve">обратите внимание: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 это не картинка, которую делает дизайнер, а пакет документов по госстандарту, выполненный проектной мастерской, имеющей разрешение на такой вид работ, стоимость проекта зависит от вида вывески и места установки),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документов, подтверждающих право собственности на объект, где будет установлена вывеска либо копия свидетельства о праве владения помещения/земли от собственника,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Договор об аренде с собственником недвижимости, где будет установлена вывеска и его письменное согласие на установку,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Заявление на имя руководителя администрации,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sz w:val="24"/>
          <w:szCs w:val="24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При присоединении рекламной конструкции к многоквартирному дому </w:t>
      </w:r>
      <w:r w:rsidDel="00000000" w:rsidR="00000000" w:rsidRPr="00000000">
        <w:rPr>
          <w:sz w:val="24"/>
          <w:szCs w:val="24"/>
          <w:rtl w:val="0"/>
        </w:rPr>
        <w:t xml:space="preserve">Протокол общего собрания собственников помещений в многоквартирном доме.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К пакету документов необходимо приложить квитанцию об уплате госпошлины, 5 000 рублей для Уфы (скидка 30% при оформлении услуги в электронной форме).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Принять заявку могут в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МКУ "Управление наружной рекламы и информации"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 МФЦ или в электронной форме через Республиканский портал государственных услуг.</w:t>
      </w:r>
    </w:p>
    <w:p w:rsidR="00000000" w:rsidDel="00000000" w:rsidP="00000000" w:rsidRDefault="00000000" w:rsidRPr="00000000" w14:paraId="0000000B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Срок рассмотрения заявки до 62 календарных дней.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Технические требования.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Крышные установки</w:t>
      </w:r>
      <w:r w:rsidDel="00000000" w:rsidR="00000000" w:rsidRPr="00000000">
        <w:rPr>
          <w:sz w:val="24"/>
          <w:szCs w:val="24"/>
          <w:rtl w:val="0"/>
        </w:rPr>
        <w:t xml:space="preserve"> (объемные или плоскостные конструкции, размещаемые полностью или частично выше уровня карниза здания или на крыше с внутренним подсветом, электронным табло или без них).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Площадь конструкции определяется габаритами и несущей способностью места установки.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Настенные панно</w:t>
      </w:r>
      <w:r w:rsidDel="00000000" w:rsidR="00000000" w:rsidRPr="00000000">
        <w:rPr>
          <w:sz w:val="24"/>
          <w:szCs w:val="24"/>
          <w:rtl w:val="0"/>
        </w:rPr>
        <w:t xml:space="preserve"> (информационные или рекламные носители, размещаемые на плоскости стен зданий и сооружений в виде изображения, непосредственно нанесенного на стену, либо конструкции, состоящие из элементов крепления, каркаса и информационного поля.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Площадь конструкции определяется габаритами и несущей способностью места установки.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Кронштейны</w:t>
      </w:r>
      <w:r w:rsidDel="00000000" w:rsidR="00000000" w:rsidRPr="00000000">
        <w:rPr>
          <w:sz w:val="24"/>
          <w:szCs w:val="24"/>
          <w:rtl w:val="0"/>
        </w:rPr>
        <w:t xml:space="preserve"> (двусторонние консольные плоскостные конструкции, устанавливаемые на собственных опорах, мачтах-опорах городского освещения, опорах контактной сети или на зданиях, выполняемые в двустороннем варианте, с внутренней подсветкой и без нее).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Разрешены типовые размеры кронштейнов, размещаемых на опорах (в вертикальном исполнении):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- 1,8 x 1,2 м - для магистралей, проспектов и площадей;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- 1,5 x 1,0 м - для узких улиц и переулков.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Размеры кронштейнов, размещаемых на фасадах зданий, определяются архитектурными особенностями зданий.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Транспаранты-перетяжки</w:t>
      </w:r>
      <w:r w:rsidDel="00000000" w:rsidR="00000000" w:rsidRPr="00000000">
        <w:rPr>
          <w:sz w:val="24"/>
          <w:szCs w:val="24"/>
          <w:rtl w:val="0"/>
        </w:rPr>
        <w:t xml:space="preserve"> (информационные или рекламные носители на опорах, прикрепляющиеся фасадам зданий, устройства натяжения и информационного изображения). Могут быть световые и неосвещенные. Площадь информационного поля перетяжки определяется площадью используемых для размещения рекламной информации сторон. Площадь конструкции определяется габаритами и несущей способностью места установки.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Проекционные установки</w:t>
      </w:r>
      <w:r w:rsidDel="00000000" w:rsidR="00000000" w:rsidRPr="00000000">
        <w:rPr>
          <w:sz w:val="24"/>
          <w:szCs w:val="24"/>
          <w:rtl w:val="0"/>
        </w:rPr>
        <w:t xml:space="preserve"> (световые установки, предназначенные для воспроизведения изображения на земле, на плоскостях стен и в объеме).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Площадь информационного поля для плоских изображений определяется габаритами проецируемой поверхности, а для объемных изображений определяется расчетным путем.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Светодиодные видеоэкраны (табло)</w:t>
      </w:r>
      <w:r w:rsidDel="00000000" w:rsidR="00000000" w:rsidRPr="00000000">
        <w:rPr>
          <w:sz w:val="24"/>
          <w:szCs w:val="24"/>
          <w:rtl w:val="0"/>
        </w:rPr>
        <w:t xml:space="preserve"> (световые установки,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элементов).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Возможность расположения светодиодного видеоэкрана (табло) на фасаде или крыше здания и его место расположения определяются в зависимости от размера и архитектурных особенностей здания. Размеры указанных конструкций не должны превышать размеров фасада, на котором они устанавливаются.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Источник информации -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Электронный фонд правовых и нормативно-технических документов.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firstLine="4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jc w:val="both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cntd.ru/document/438916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